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Eyebrow"/>
      </w:pPr>
      <w:r>
        <w:t xml:space="preserve">SOLICITORS’ STARTER PACK</w:t>
      </w:r>
    </w:p>
    <w:p>
      <w:pPr>
        <w:pStyle w:val="Heading1"/>
      </w:pPr>
      <w:r>
        <w:t xml:space="preserve">Points of dispute working layout</w:t>
      </w:r>
    </w:p>
    <w:p>
      <w:pPr>
        <w:pStyle w:val="Subtitle"/>
      </w:pPr>
      <w:r>
        <w:t xml:space="preserve">Paying-party drafting aid</w:t>
      </w:r>
    </w:p>
    <w:p>
      <w:pPr>
        <w:pStyle w:val="Small"/>
      </w:pPr>
      <w:r>
        <w:t xml:space="preserve">Blank template • England and Wales • Prepared 14 October 2026</w:t>
      </w:r>
    </w:p>
    <w:p>
      <w:r>
        <w:t xml:space="preserve">A preparation aid, not a reproduction of official Precedent G. The final points should follow Precedent G as closely as possible and be short and to the point. CPR 47.9 normally requires service within 21 days of notice of commencement; check any variation.</w:t>
      </w:r>
    </w:p>
    <w:p>
      <w:pPr>
        <w:pStyle w:val="Heading2"/>
      </w:pPr>
      <w:r>
        <w:t xml:space="preserve">Heading and service checks</w:t>
      </w:r>
    </w:p>
    <w:p>
      <w:r>
        <w:t xml:space="preserve">[Court; claim number; parties; paying party; bill date; date notice served; verified deadline; recipients.]</w:t>
      </w:r>
    </w:p>
    <w:p>
      <w:pPr>
        <w:pStyle w:val="Heading2"/>
      </w:pPr>
      <w:r>
        <w:t xml:space="preserve">Point of principle</w:t>
      </w:r>
    </w:p>
    <w:p>
      <w:r>
        <w:t xml:space="preserve">[State the issue, relevant order/rule and concise reasons. Identify affected items and any documents needed. Avoid unsupported blanket objections.]</w:t>
      </w:r>
    </w:p>
    <w:p>
      <w:pPr>
        <w:pStyle w:val="Heading2"/>
      </w:pPr>
      <w:r>
        <w:t xml:space="preserve">Specific item or group</w:t>
      </w:r>
    </w:p>
    <w:p>
      <w:r>
        <w:t xml:space="preserve">[Point number; exact bill item(s)/phase; description; sum claimed; disputed time/rate/amount; reasons; proposed allowance where possible.]</w:t>
      </w:r>
    </w:p>
    <w:p>
      <w:pPr>
        <w:pStyle w:val="Heading2"/>
      </w:pPr>
      <w:r>
        <w:t xml:space="preserve">Evidence and calculation</w:t>
      </w:r>
    </w:p>
    <w:p>
      <w:r>
        <w:t xml:space="preserve">[Identify supporting records and explain any proposed reduction. Group genuinely common issues without hiding item references.]</w:t>
      </w:r>
    </w:p>
    <w:p>
      <w:pPr>
        <w:pStyle w:val="Heading2"/>
      </w:pPr>
      <w:r>
        <w:t xml:space="preserve">Final review</w:t>
      </w:r>
    </w:p>
    <w:p>
      <w:r>
        <w:t xml:space="preserve">[Check arithmetic, self-contained reasons, relevance and Precedent G format. Keep settlement offers separate from points of dispute.]</w:t>
      </w:r>
    </w:p>
    <w:p>
      <w:pPr>
        <w:pStyle w:val="Small"/>
      </w:pPr>
      <w:r>
        <w:t xml:space="preserve">Educational working document, not an official court form or legal advice. Adapt to the order, current rules and evidence. Obtain a qualified Costs Lawyer’s review before use. No review or approval by our directors is implied.</w:t>
      </w:r>
    </w:p>
    <w:p>
      <w:pPr>
        <w:pStyle w:val="Heading1"/>
        <w:pageBreakBefore/>
      </w:pPr>
      <w:r>
        <w:t xml:space="preserve">Fictional worked example</w:t>
      </w:r>
    </w:p>
    <w:p>
      <w:pPr>
        <w:pStyle w:val="Subtitle"/>
      </w:pPr>
      <w:r>
        <w:t xml:space="preserve">Points of dispute working layout</w:t>
      </w:r>
    </w:p>
    <w:p>
      <w:pPr>
        <w:pStyle w:val="Small"/>
      </w:pPr>
      <w:r>
        <w:t xml:space="preserve">All parties, facts and amounts below are invented. This is not a real case, approved precedent or promised outcome.</w:t>
      </w:r>
    </w:p>
    <w:p>
      <w:pPr>
        <w:pStyle w:val="Heading2"/>
      </w:pPr>
      <w:r>
        <w:t xml:space="preserve">Point 1 — fictional item 42</w:t>
      </w:r>
    </w:p>
    <w:p>
      <w:r>
        <w:t xml:space="preserve">Document review: 4.0 hours at £250 per hour; £1,000 claimed, excluding VAT.</w:t>
      </w:r>
    </w:p>
    <w:p>
      <w:pPr>
        <w:pStyle w:val="Heading2"/>
      </w:pPr>
      <w:r>
        <w:t xml:space="preserve">Objection</w:t>
      </w:r>
    </w:p>
    <w:p>
      <w:r>
        <w:t xml:space="preserve">The fictional attendance note records a 2.0-hour review of the same document set. No additional work is identified. Subject to clarification of the records, the paying party proposes 2.0 hours at the claimed rate.</w:t>
      </w:r>
    </w:p>
    <w:p>
      <w:pPr>
        <w:pStyle w:val="Heading2"/>
      </w:pPr>
      <w:r>
        <w:t xml:space="preserve">Proposed allowance</w:t>
      </w:r>
    </w:p>
    <w:p>
      <w:r>
        <w:t xml:space="preserve">2.0 × £250 = £500, excluding VAT; proposed reduction £500. This is an illustration of an evidence-led objection, not a guideline rate or typical outcome.</w:t>
      </w:r>
    </w:p>
    <w:p>
      <w:pPr>
        <w:pStyle w:val="Heading2"/>
      </w:pPr>
      <w:r>
        <w:t xml:space="preserve">Before service</w:t>
      </w:r>
    </w:p>
    <w:p>
      <w:r>
        <w:t xml:space="preserve">Verify the actual bill reference, evidence, entitlement and rate. Transfer into the appropriate final format; omit fictional wording and check the service deadline.</w:t>
      </w:r>
    </w:p>
    <w:p>
      <w:pPr>
        <w:pStyle w:val="Heading2"/>
      </w:pPr>
      <w:r>
        <w:t xml:space="preserve">Before adapting</w:t>
      </w:r>
    </w:p>
    <w:p>
      <w:r>
        <w:t xml:space="preserve">Replace every placeholder, verify the current rules and the actual order, reconcile all figures, and obtain legal review. Never file or serve the fictional example unchanged.</w:t>
      </w:r>
    </w:p>
    <w:p>
      <w:pPr>
        <w:pStyle w:val="Small"/>
      </w:pPr>
      <w:r>
        <w:t xml:space="preserve">Rules reference: CPR Part 47 and Practice Direction 47 (justice.gov.uk); for settlement offers, CPR 44.2 and Part 36. Check current provisions before use.</w:t>
      </w:r>
    </w:p>
    <w:p>
      <w:pPr>
        <w:pStyle w:val="Small"/>
      </w:pPr>
      <w:r>
        <w:t xml:space="preserve">Educational working document, not an official court form or legal advice. Adapt to the order, current rules and evidence. Obtain a qualified Costs Lawyer’s review before use. No review or approval by our directors is implied.</w:t>
      </w:r>
    </w:p>
    <w:sectPr>
      <w:headerReference w:type="default" r:id="rId6"/>
      <w:footerReference w:type="default" r:id="rId7"/>
      <w:pgSz w:w="11906" w:h="16838" w:orient="portrait"/>
      <w:pgMar w:top="1050" w:right="1050" w:bottom="105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2656F"/>
        <w:sz w:val="16"/>
        <w:szCs w:val="16"/>
      </w:rPr>
      <w:t xml:space="preserve">costs-lawyer.co.uk   |   Educational draft   |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F225B" w:sz="8" w:space="6"/>
      </w:pBdr>
      <w:spacing w:after="140"/>
    </w:pPr>
    <w:r>
      <w:t xml:space="preserve">COSTS LAWYER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2A32"/>
        <w:sz w:val="21"/>
        <w:szCs w:val="21"/>
      </w:rPr>
    </w:rPrDefault>
    <w:pPrDefault>
      <w:pPr>
        <w:spacing w:after="140" w:line="2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92A32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65" w:before="170"/>
      <w:outlineLvl w:val="1"/>
    </w:pPr>
    <w:rPr>
      <w:rFonts w:ascii="Arial" w:cs="Arial" w:eastAsia="Arial" w:hAnsi="Arial"/>
      <w:b/>
      <w:bCs/>
      <w:color w:val="AF225B"/>
      <w:sz w:val="23"/>
      <w:szCs w:val="23"/>
    </w:rPr>
  </w:style>
  <w:style w:type="paragraph" w:styleId="Subtitle">
    <w:name w:val="Subtitle"/>
    <w:pPr>
      <w:spacing w:after="160"/>
    </w:pPr>
    <w:rPr>
      <w:rFonts w:ascii="Arial" w:cs="Arial" w:eastAsia="Arial" w:hAnsi="Arial"/>
      <w:color w:val="52656F"/>
      <w:sz w:val="24"/>
      <w:szCs w:val="24"/>
    </w:rPr>
  </w:style>
  <w:style w:type="paragraph" w:styleId="Small">
    <w:name w:val="Small"/>
    <w:pPr>
      <w:spacing w:after="140" w:before="100" w:line="230"/>
    </w:pPr>
    <w:rPr>
      <w:rFonts w:ascii="Arial" w:cs="Arial" w:eastAsia="Arial" w:hAnsi="Arial"/>
      <w:color w:val="52656F"/>
      <w:sz w:val="17"/>
      <w:szCs w:val="17"/>
    </w:rPr>
  </w:style>
  <w:style w:type="paragraph" w:styleId="Eyebrow">
    <w:name w:val="Eyebrow"/>
    <w:pPr>
      <w:spacing w:after="120"/>
    </w:pPr>
    <w:rPr>
      <w:rFonts w:ascii="Arial" w:cs="Arial" w:eastAsia="Arial" w:hAnsi="Arial"/>
      <w:b/>
      <w:bCs/>
      <w:color w:val="AF225B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Points of dispute working layout</dc:title>
  <dc:creator>Costs Lawyer</dc:creator>
  <dc:description>Educational template and fictional worked example</dc:description>
  <cp:lastModifiedBy>Un-named</cp:lastModifiedBy>
  <cp:revision>1</cp:revision>
  <dcterms:created xsi:type="dcterms:W3CDTF">2026-10-14T09:46:10.011Z</dcterms:created>
  <dcterms:modified xsi:type="dcterms:W3CDTF">2026-10-14T09:46:10.011Z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