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Eyebrow"/>
      </w:pPr>
      <w:r>
        <w:t xml:space="preserve">SOLICITORS’ STARTER PACK</w:t>
      </w:r>
    </w:p>
    <w:p>
      <w:pPr>
        <w:pStyle w:val="Heading1"/>
      </w:pPr>
      <w:r>
        <w:t xml:space="preserve">Replies to points of dispute</w:t>
      </w:r>
    </w:p>
    <w:p>
      <w:pPr>
        <w:pStyle w:val="Subtitle"/>
      </w:pPr>
      <w:r>
        <w:t xml:space="preserve">Receiving-party working layout</w:t>
      </w:r>
    </w:p>
    <w:p>
      <w:pPr>
        <w:pStyle w:val="Small"/>
      </w:pPr>
      <w:r>
        <w:t xml:space="preserve">Blank template • England and Wales • Prepared 14 October 2026</w:t>
      </w:r>
    </w:p>
    <w:p>
      <w:r>
        <w:t xml:space="preserve">Replies are optional. Under CPR 47.13 a receiving party may serve replies within 21 days after service of points of dispute. PD 47 limits replies to points of principle and concessions; avoid routine item-by-item denials. This is not an official court form.</w:t>
      </w:r>
    </w:p>
    <w:p>
      <w:pPr>
        <w:pStyle w:val="Heading2"/>
      </w:pPr>
      <w:r>
        <w:t xml:space="preserve">Matter and timetable</w:t>
      </w:r>
    </w:p>
    <w:p>
      <w:r>
        <w:t xml:space="preserve">[Court; claim number; parties; points received date; verified reply deadline; parties who served points.]</w:t>
      </w:r>
    </w:p>
    <w:p>
      <w:pPr>
        <w:pStyle w:val="Heading2"/>
      </w:pPr>
      <w:r>
        <w:t xml:space="preserve">Point of principle answered</w:t>
      </w:r>
    </w:p>
    <w:p>
      <w:r>
        <w:t xml:space="preserve">[Cross-reference the point number. State the principle disputed, concise response and supporting order, evidence or authority. Explain why a reply adds value.]</w:t>
      </w:r>
    </w:p>
    <w:p>
      <w:pPr>
        <w:pStyle w:val="Heading2"/>
      </w:pPr>
      <w:r>
        <w:t xml:space="preserve">Concession</w:t>
      </w:r>
    </w:p>
    <w:p>
      <w:r>
        <w:t xml:space="preserve">[Identify exact bill items; original sum; revised allowance; amount conceded; VAT/interest treatment where relevant.]</w:t>
      </w:r>
    </w:p>
    <w:p>
      <w:pPr>
        <w:pStyle w:val="Heading2"/>
      </w:pPr>
      <w:r>
        <w:t xml:space="preserve">Outstanding evidence</w:t>
      </w:r>
    </w:p>
    <w:p>
      <w:r>
        <w:t xml:space="preserve">[Specify what supports your position and any missing material. Do not use replies as a substitute for correcting or formally amending the bill.]</w:t>
      </w:r>
    </w:p>
    <w:p>
      <w:pPr>
        <w:pStyle w:val="Heading2"/>
      </w:pPr>
      <w:r>
        <w:t xml:space="preserve">Review and service</w:t>
      </w:r>
    </w:p>
    <w:p>
      <w:r>
        <w:t xml:space="preserve">[Remove repetition; check concessions and arithmetic; consider settlement separately; serve on the required parties after legal review.]</w:t>
      </w:r>
    </w:p>
    <w:p>
      <w:pPr>
        <w:pStyle w:val="Small"/>
      </w:pPr>
      <w:r>
        <w:t xml:space="preserve">Educational working document, not an official court form or legal advice. Adapt to the order, current rules and evidence. Obtain a qualified Costs Lawyer’s review before use. No review or approval by our directors is implied.</w:t>
      </w:r>
    </w:p>
    <w:p>
      <w:pPr>
        <w:pStyle w:val="Heading1"/>
        <w:pageBreakBefore/>
      </w:pPr>
      <w:r>
        <w:t xml:space="preserve">Fictional worked example</w:t>
      </w:r>
    </w:p>
    <w:p>
      <w:pPr>
        <w:pStyle w:val="Subtitle"/>
      </w:pPr>
      <w:r>
        <w:t xml:space="preserve">Replies to points of dispute</w:t>
      </w:r>
    </w:p>
    <w:p>
      <w:pPr>
        <w:pStyle w:val="Small"/>
      </w:pPr>
      <w:r>
        <w:t xml:space="preserve">All parties, facts and amounts below are invented. This is not a real case, approved precedent or promised outcome.</w:t>
      </w:r>
    </w:p>
    <w:p>
      <w:pPr>
        <w:pStyle w:val="Heading2"/>
      </w:pPr>
      <w:r>
        <w:t xml:space="preserve">Concession to fictional Point 1</w:t>
      </w:r>
    </w:p>
    <w:p>
      <w:r>
        <w:t xml:space="preserve">For item 42, the receiving party accepts that 4.0 hours was recorded in error for the document review. Only 2.0 hours is pursued at £250 per hour.</w:t>
      </w:r>
    </w:p>
    <w:p>
      <w:pPr>
        <w:pStyle w:val="Heading2"/>
      </w:pPr>
      <w:r>
        <w:t xml:space="preserve">Revised amount</w:t>
      </w:r>
    </w:p>
    <w:p>
      <w:r>
        <w:t xml:space="preserve">£500 excluding VAT, reduced from £1,000 excluding VAT. The concession is limited to this item; the total and any consequential calculations require reconciliation.</w:t>
      </w:r>
    </w:p>
    <w:p>
      <w:pPr>
        <w:pStyle w:val="Heading2"/>
      </w:pPr>
      <w:r>
        <w:t xml:space="preserve">Why this reply is included</w:t>
      </w:r>
    </w:p>
    <w:p>
      <w:r>
        <w:t xml:space="preserve">It records a concrete concession to narrow the dispute, rather than a generic denial. The correction must be reflected in the appropriate bill and assessment documents.</w:t>
      </w:r>
    </w:p>
    <w:p>
      <w:pPr>
        <w:pStyle w:val="Heading2"/>
      </w:pPr>
      <w:r>
        <w:t xml:space="preserve">Alternative response</w:t>
      </w:r>
    </w:p>
    <w:p>
      <w:r>
        <w:t xml:space="preserve">If there is only an item-level evidential disagreement with no concession or point of principle, consider whether a reply is appropriate under PD 47 rather than adding unnecessary drafting.</w:t>
      </w:r>
    </w:p>
    <w:p>
      <w:pPr>
        <w:pStyle w:val="Heading2"/>
      </w:pPr>
      <w:r>
        <w:t xml:space="preserve">Before adapting</w:t>
      </w:r>
    </w:p>
    <w:p>
      <w:r>
        <w:t xml:space="preserve">Replace every placeholder, verify the current rules and the actual order, reconcile all figures, and obtain legal review. Never file or serve the fictional example unchanged.</w:t>
      </w:r>
    </w:p>
    <w:p>
      <w:pPr>
        <w:pStyle w:val="Small"/>
      </w:pPr>
      <w:r>
        <w:t xml:space="preserve">Rules reference: CPR Part 47 and Practice Direction 47 (justice.gov.uk); for settlement offers, CPR 44.2 and Part 36. Check current provisions before use.</w:t>
      </w:r>
    </w:p>
    <w:p>
      <w:pPr>
        <w:pStyle w:val="Small"/>
      </w:pPr>
      <w:r>
        <w:t xml:space="preserve">Educational working document, not an official court form or legal advice. Adapt to the order, current rules and evidence. Obtain a qualified Costs Lawyer’s review before use. No review or approval by our directors is implied.</w:t>
      </w:r>
    </w:p>
    <w:sectPr>
      <w:headerReference w:type="default" r:id="rId6"/>
      <w:footerReference w:type="default" r:id="rId7"/>
      <w:pgSz w:w="11906" w:h="16838" w:orient="portrait"/>
      <w:pgMar w:top="1050" w:right="1050" w:bottom="105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2656F"/>
        <w:sz w:val="16"/>
        <w:szCs w:val="16"/>
      </w:rPr>
      <w:t xml:space="preserve">costs-lawyer.co.uk   |   Educational draft   |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F225B" w:sz="8" w:space="6"/>
      </w:pBdr>
      <w:spacing w:after="140"/>
    </w:pPr>
    <w:r>
      <w:t xml:space="preserve">COSTS LAWYER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2A32"/>
        <w:sz w:val="21"/>
        <w:szCs w:val="21"/>
      </w:rPr>
    </w:rPrDefault>
    <w:pPrDefault>
      <w:pPr>
        <w:spacing w:after="140" w:line="2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92A32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65" w:before="170"/>
      <w:outlineLvl w:val="1"/>
    </w:pPr>
    <w:rPr>
      <w:rFonts w:ascii="Arial" w:cs="Arial" w:eastAsia="Arial" w:hAnsi="Arial"/>
      <w:b/>
      <w:bCs/>
      <w:color w:val="AF225B"/>
      <w:sz w:val="23"/>
      <w:szCs w:val="23"/>
    </w:rPr>
  </w:style>
  <w:style w:type="paragraph" w:styleId="Subtitle">
    <w:name w:val="Subtitle"/>
    <w:pPr>
      <w:spacing w:after="160"/>
    </w:pPr>
    <w:rPr>
      <w:rFonts w:ascii="Arial" w:cs="Arial" w:eastAsia="Arial" w:hAnsi="Arial"/>
      <w:color w:val="52656F"/>
      <w:sz w:val="24"/>
      <w:szCs w:val="24"/>
    </w:rPr>
  </w:style>
  <w:style w:type="paragraph" w:styleId="Small">
    <w:name w:val="Small"/>
    <w:pPr>
      <w:spacing w:after="140" w:before="100" w:line="230"/>
    </w:pPr>
    <w:rPr>
      <w:rFonts w:ascii="Arial" w:cs="Arial" w:eastAsia="Arial" w:hAnsi="Arial"/>
      <w:color w:val="52656F"/>
      <w:sz w:val="17"/>
      <w:szCs w:val="17"/>
    </w:rPr>
  </w:style>
  <w:style w:type="paragraph" w:styleId="Eyebrow">
    <w:name w:val="Eyebrow"/>
    <w:pPr>
      <w:spacing w:after="120"/>
    </w:pPr>
    <w:rPr>
      <w:rFonts w:ascii="Arial" w:cs="Arial" w:eastAsia="Arial" w:hAnsi="Arial"/>
      <w:b/>
      <w:bCs/>
      <w:color w:val="AF225B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Replies to points of dispute</dc:title>
  <dc:creator>Costs Lawyer</dc:creator>
  <dc:description>Educational template and fictional worked example</dc:description>
  <cp:lastModifiedBy>Un-named</cp:lastModifiedBy>
  <cp:revision>1</cp:revision>
  <dcterms:created xsi:type="dcterms:W3CDTF">2026-10-14T09:46:10.031Z</dcterms:created>
  <dcterms:modified xsi:type="dcterms:W3CDTF">2026-10-14T09:46:10.031Z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